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7B94D" w14:textId="77777777" w:rsidR="00BD603E" w:rsidRDefault="00BD603E" w:rsidP="00BD603E">
      <w:pPr>
        <w:pStyle w:val="Titreparagraphe"/>
      </w:pPr>
      <w:r w:rsidRPr="00BD603E">
        <w:rPr>
          <w:highlight w:val="yellow"/>
        </w:rPr>
        <w:t>I – LE COUT DES AT ET DES MP :</w:t>
      </w:r>
    </w:p>
    <w:p w14:paraId="2FCCBDE7" w14:textId="77777777" w:rsidR="0037624D" w:rsidRDefault="0037624D" w:rsidP="00FA7529">
      <w:pPr>
        <w:pStyle w:val="Paragraphes"/>
      </w:pPr>
      <w:r>
        <w:t>Un accident du travail ou une maladie professionnelle peuvent engendrer des coûts non seulement pour la victime mais aussi pour l’employeur qui parle alors de coût financier direct et indirect.</w:t>
      </w:r>
    </w:p>
    <w:p w14:paraId="5C9E155E" w14:textId="77777777" w:rsidR="00A76221" w:rsidRDefault="00BD603E" w:rsidP="00FA7529">
      <w:pPr>
        <w:pStyle w:val="Paragraphes"/>
      </w:pPr>
      <w:r w:rsidRPr="00BD603E">
        <w:rPr>
          <w:b/>
        </w:rPr>
        <w:t>Le coût direct :</w:t>
      </w:r>
      <w:r>
        <w:t xml:space="preserve"> c’est l’employeur qui supporte</w:t>
      </w:r>
      <w:r w:rsidR="0037624D">
        <w:t xml:space="preserve"> </w:t>
      </w:r>
      <w:r>
        <w:t xml:space="preserve">la charge des cotisations annuelles de </w:t>
      </w:r>
      <w:smartTag w:uri="urn:schemas-microsoft-com:office:smarttags" w:element="PersonName">
        <w:smartTagPr>
          <w:attr w:name="ProductID" w:val="la S￩curit￩ Sociale"/>
        </w:smartTagPr>
        <w:smartTag w:uri="urn:schemas-microsoft-com:office:smarttags" w:element="PersonName">
          <w:smartTagPr>
            <w:attr w:name="ProductID" w:val="la S￩curit￩"/>
          </w:smartTagPr>
          <w:r>
            <w:t>la Sécurité</w:t>
          </w:r>
        </w:smartTag>
        <w:r>
          <w:t xml:space="preserve"> Sociale</w:t>
        </w:r>
      </w:smartTag>
      <w:r>
        <w:t xml:space="preserve">, au titre des AT et des MP. Le taux de cotisation est fixé par annuellement pour chaque catégorie de risque par </w:t>
      </w:r>
      <w:smartTag w:uri="urn:schemas-microsoft-com:office:smarttags" w:element="PersonName">
        <w:smartTagPr>
          <w:attr w:name="ProductID" w:val="la CNAM."/>
        </w:smartTagPr>
        <w:r>
          <w:t>la CNAM.</w:t>
        </w:r>
      </w:smartTag>
    </w:p>
    <w:p w14:paraId="37A697CF" w14:textId="77777777" w:rsidR="00BD603E" w:rsidRDefault="009E5D50" w:rsidP="00BD603E">
      <w:pPr>
        <w:pStyle w:val="Paragraphes"/>
        <w:jc w:val="center"/>
      </w:pPr>
      <w:r>
        <w:object w:dxaOrig="7444" w:dyaOrig="3476" w14:anchorId="33283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156.75pt" o:ole="">
            <v:imagedata r:id="rId7" o:title=""/>
          </v:shape>
          <o:OLEObject Type="Embed" ProgID="Visio.Drawing.11" ShapeID="_x0000_i1025" DrawAspect="Content" ObjectID="_1652081730" r:id="rId8"/>
        </w:object>
      </w:r>
    </w:p>
    <w:p w14:paraId="0D1A9FD1" w14:textId="77777777" w:rsidR="00BD603E" w:rsidRDefault="00BD603E" w:rsidP="00FA7529">
      <w:pPr>
        <w:pStyle w:val="Paragraphes"/>
      </w:pPr>
      <w:r w:rsidRPr="00BD603E">
        <w:rPr>
          <w:b/>
        </w:rPr>
        <w:t>Le coût indirect pour l’entreprise</w:t>
      </w:r>
      <w:r>
        <w:t> : il est 2 à 3 fois supérieur au coût direct car il inclut les frais occasionnés par les accidents (remplacement des salariés, réparation du matériel, arrêt de production, etc.).</w:t>
      </w:r>
    </w:p>
    <w:p w14:paraId="5171D091" w14:textId="77777777" w:rsidR="00BD603E" w:rsidRDefault="009E5D50" w:rsidP="006F439D">
      <w:pPr>
        <w:pStyle w:val="Paragraphes"/>
        <w:jc w:val="center"/>
      </w:pPr>
      <w:r>
        <w:object w:dxaOrig="7728" w:dyaOrig="4723" w14:anchorId="29F4B464">
          <v:shape id="_x0000_i1026" type="#_x0000_t75" style="width:353.25pt;height:3in" o:ole="">
            <v:imagedata r:id="rId9" o:title=""/>
          </v:shape>
          <o:OLEObject Type="Embed" ProgID="Visio.Drawing.11" ShapeID="_x0000_i1026" DrawAspect="Content" ObjectID="_1652081731" r:id="rId10"/>
        </w:object>
      </w:r>
    </w:p>
    <w:p w14:paraId="165B3AFF" w14:textId="77777777" w:rsidR="00BD603E" w:rsidRDefault="00BD603E" w:rsidP="00FA7529">
      <w:pPr>
        <w:pStyle w:val="Paragraphes"/>
      </w:pPr>
      <w:r w:rsidRPr="00BD603E">
        <w:rPr>
          <w:b/>
        </w:rPr>
        <w:t>Le coût pour l’accidenté :</w:t>
      </w:r>
      <w:r>
        <w:t xml:space="preserve"> il est plus que financier puisqu’il peut entrainer un préjudice physique et moral (douleurs, handicap, perte d’emploi, dépression, etc.).</w:t>
      </w:r>
    </w:p>
    <w:p w14:paraId="44F306D4" w14:textId="77777777" w:rsidR="00BD603E" w:rsidRDefault="009E5D50" w:rsidP="006F439D">
      <w:pPr>
        <w:pStyle w:val="Paragraphes"/>
        <w:jc w:val="center"/>
      </w:pPr>
      <w:r>
        <w:object w:dxaOrig="6594" w:dyaOrig="2909" w14:anchorId="2BB91BE6">
          <v:shape id="_x0000_i1027" type="#_x0000_t75" style="width:361.5pt;height:159pt" o:ole="">
            <v:imagedata r:id="rId11" o:title=""/>
          </v:shape>
          <o:OLEObject Type="Embed" ProgID="Visio.Drawing.11" ShapeID="_x0000_i1027" DrawAspect="Content" ObjectID="_1652081732" r:id="rId12"/>
        </w:object>
      </w:r>
    </w:p>
    <w:p w14:paraId="3A59C3B7" w14:textId="77777777" w:rsidR="00BD603E" w:rsidRDefault="00BD603E" w:rsidP="00FA7529">
      <w:pPr>
        <w:pStyle w:val="Paragraphes"/>
      </w:pPr>
    </w:p>
    <w:p w14:paraId="20B60F03" w14:textId="77777777" w:rsidR="00E62758" w:rsidRDefault="009E5D50" w:rsidP="009E5D50">
      <w:pPr>
        <w:pStyle w:val="Titreparagraphe"/>
      </w:pPr>
      <w:r>
        <w:br w:type="page"/>
      </w:r>
      <w:r w:rsidRPr="009E5D50">
        <w:rPr>
          <w:highlight w:val="yellow"/>
        </w:rPr>
        <w:lastRenderedPageBreak/>
        <w:t xml:space="preserve">II – </w:t>
      </w:r>
      <w:smartTag w:uri="urn:schemas-microsoft-com:office:smarttags" w:element="PersonName">
        <w:smartTagPr>
          <w:attr w:name="ProductID" w:val="LA REPARATION DES"/>
        </w:smartTagPr>
        <w:smartTag w:uri="urn:schemas-microsoft-com:office:smarttags" w:element="PersonName">
          <w:smartTagPr>
            <w:attr w:name="ProductID" w:val="LA REPARATION"/>
          </w:smartTagPr>
          <w:r w:rsidRPr="009E5D50">
            <w:rPr>
              <w:highlight w:val="yellow"/>
            </w:rPr>
            <w:t>LA REPARATION</w:t>
          </w:r>
        </w:smartTag>
        <w:r w:rsidRPr="009E5D50">
          <w:rPr>
            <w:highlight w:val="yellow"/>
          </w:rPr>
          <w:t xml:space="preserve"> DES</w:t>
        </w:r>
      </w:smartTag>
      <w:r w:rsidRPr="009E5D50">
        <w:rPr>
          <w:highlight w:val="yellow"/>
        </w:rPr>
        <w:t xml:space="preserve"> AT ET MP :</w:t>
      </w:r>
    </w:p>
    <w:p w14:paraId="036A9D2B" w14:textId="77777777" w:rsidR="009E5D50" w:rsidRPr="00205417" w:rsidRDefault="009E5D50" w:rsidP="00FA7529">
      <w:pPr>
        <w:pStyle w:val="Paragraphes"/>
        <w:rPr>
          <w:sz w:val="18"/>
        </w:rPr>
      </w:pPr>
      <w:r w:rsidRPr="00205417">
        <w:rPr>
          <w:sz w:val="18"/>
        </w:rPr>
        <w:t xml:space="preserve">Un salarié accidenté ou victime d’une MP est en droit de demander réparation et de percevoir des indemnités. Cependant, il devra déclarer l’AT ou </w:t>
      </w:r>
      <w:smartTag w:uri="urn:schemas-microsoft-com:office:smarttags" w:element="PersonName">
        <w:smartTagPr>
          <w:attr w:name="ProductID" w:val="la MP"/>
        </w:smartTagPr>
        <w:r w:rsidRPr="00205417">
          <w:rPr>
            <w:sz w:val="18"/>
          </w:rPr>
          <w:t>la MP</w:t>
        </w:r>
      </w:smartTag>
      <w:r w:rsidRPr="00205417">
        <w:rPr>
          <w:sz w:val="18"/>
        </w:rPr>
        <w:t xml:space="preserve"> selon une procédure bien définie.</w:t>
      </w:r>
    </w:p>
    <w:p w14:paraId="2C1C1B24" w14:textId="77777777" w:rsidR="009E5D50" w:rsidRDefault="009E5D50" w:rsidP="009E5D50">
      <w:pPr>
        <w:pStyle w:val="Titresousparagraphe"/>
      </w:pPr>
      <w:r>
        <w:t>21 – Les démarches à effectuer pour déclarer un AT :</w:t>
      </w:r>
    </w:p>
    <w:p w14:paraId="4D4A0779" w14:textId="77777777" w:rsidR="009E5D50" w:rsidRPr="00205417" w:rsidRDefault="009E5D50" w:rsidP="00FA7529">
      <w:pPr>
        <w:pStyle w:val="Paragraphes"/>
        <w:rPr>
          <w:sz w:val="18"/>
        </w:rPr>
      </w:pPr>
      <w:r w:rsidRPr="00205417">
        <w:rPr>
          <w:b/>
          <w:sz w:val="18"/>
        </w:rPr>
        <w:t xml:space="preserve">Déclaration d’AT à l’employeur : </w:t>
      </w:r>
      <w:r w:rsidRPr="00205417">
        <w:rPr>
          <w:sz w:val="18"/>
        </w:rPr>
        <w:t>le salarié doit prévenir l’employeur dans les 24 heures qui suivent l’accident ; sauf cas de force majeure comme un salarié dans le coma.</w:t>
      </w:r>
    </w:p>
    <w:p w14:paraId="2C0D8D2B" w14:textId="77777777" w:rsidR="009E5D50" w:rsidRPr="00205417" w:rsidRDefault="009E5D50" w:rsidP="00FA7529">
      <w:pPr>
        <w:pStyle w:val="Paragraphes"/>
        <w:rPr>
          <w:sz w:val="18"/>
        </w:rPr>
      </w:pPr>
      <w:r w:rsidRPr="00205417">
        <w:rPr>
          <w:b/>
          <w:sz w:val="18"/>
        </w:rPr>
        <w:t xml:space="preserve">Déclaration d’AT à </w:t>
      </w:r>
      <w:smartTag w:uri="urn:schemas-microsoft-com:office:smarttags" w:element="PersonName">
        <w:smartTagPr>
          <w:attr w:name="ProductID" w:val="la CPAM"/>
        </w:smartTagPr>
        <w:r w:rsidRPr="00205417">
          <w:rPr>
            <w:b/>
            <w:sz w:val="18"/>
          </w:rPr>
          <w:t>la CPAM</w:t>
        </w:r>
      </w:smartTag>
      <w:r w:rsidRPr="00205417">
        <w:rPr>
          <w:b/>
          <w:sz w:val="18"/>
        </w:rPr>
        <w:t> :</w:t>
      </w:r>
      <w:r w:rsidRPr="00205417">
        <w:rPr>
          <w:sz w:val="18"/>
        </w:rPr>
        <w:t xml:space="preserve"> l’employeur doit déclarer l’accident à </w:t>
      </w:r>
      <w:smartTag w:uri="urn:schemas-microsoft-com:office:smarttags" w:element="PersonName">
        <w:smartTagPr>
          <w:attr w:name="ProductID" w:val="la CPAM"/>
        </w:smartTagPr>
        <w:r w:rsidRPr="00205417">
          <w:rPr>
            <w:sz w:val="18"/>
          </w:rPr>
          <w:t>la CPAM</w:t>
        </w:r>
      </w:smartTag>
      <w:r w:rsidRPr="00205417">
        <w:rPr>
          <w:sz w:val="18"/>
        </w:rPr>
        <w:t xml:space="preserve"> dont dépend l’accidenté dans les 48 heures. Il doit également remettre à l’accidenté une feuille de déclaration d’AT ou de MP qui lui permettra de recevoir les soins dont il a besoin sans avancer d’argent.</w:t>
      </w:r>
    </w:p>
    <w:p w14:paraId="1EED66CA" w14:textId="77777777" w:rsidR="00EF1C26" w:rsidRPr="00205417" w:rsidRDefault="00EF1C26" w:rsidP="00FA7529">
      <w:pPr>
        <w:pStyle w:val="Paragraphes"/>
        <w:rPr>
          <w:sz w:val="18"/>
        </w:rPr>
      </w:pPr>
      <w:r w:rsidRPr="00205417">
        <w:rPr>
          <w:b/>
          <w:sz w:val="18"/>
        </w:rPr>
        <w:t>Certificat médical :</w:t>
      </w:r>
      <w:r w:rsidRPr="00205417">
        <w:rPr>
          <w:sz w:val="18"/>
        </w:rPr>
        <w:t xml:space="preserve"> le médecin qui examine l’accidenté doit établir un certificat médical dans lequel il précise les lésions ou traumatismes dont souffre son patient, les soins qu’il doit suivre et la nécessité d’un arrêt de travail. Ce certificat sera envoyé à </w:t>
      </w:r>
      <w:smartTag w:uri="urn:schemas-microsoft-com:office:smarttags" w:element="PersonName">
        <w:smartTagPr>
          <w:attr w:name="ProductID" w:val="la CPAM"/>
        </w:smartTagPr>
        <w:r w:rsidRPr="00205417">
          <w:rPr>
            <w:sz w:val="18"/>
          </w:rPr>
          <w:t>la CPAM</w:t>
        </w:r>
      </w:smartTag>
      <w:r w:rsidRPr="00205417">
        <w:rPr>
          <w:sz w:val="18"/>
        </w:rPr>
        <w:t xml:space="preserve"> qui enregistrera l’accident et lui attribuera un numéro de sinistre à rappeler dans toute correspondance. </w:t>
      </w:r>
      <w:smartTag w:uri="urn:schemas-microsoft-com:office:smarttags" w:element="PersonName">
        <w:smartTagPr>
          <w:attr w:name="ProductID" w:val="la CPAM"/>
        </w:smartTagPr>
        <w:r w:rsidRPr="00205417">
          <w:rPr>
            <w:sz w:val="18"/>
          </w:rPr>
          <w:t>La CPAM</w:t>
        </w:r>
      </w:smartTag>
      <w:r w:rsidRPr="00205417">
        <w:rPr>
          <w:sz w:val="18"/>
        </w:rPr>
        <w:t xml:space="preserve"> peut procéder à un contrôle médical auquel l’accidenté sera tenu de se soumettre.</w:t>
      </w:r>
    </w:p>
    <w:p w14:paraId="148D27C1" w14:textId="77777777" w:rsidR="00EF1C26" w:rsidRDefault="00EF1C26" w:rsidP="00EF1C26">
      <w:pPr>
        <w:pStyle w:val="Titresousparagraphe"/>
      </w:pPr>
      <w:r>
        <w:t xml:space="preserve"> 22 – Les démarches à effectuer pour déclarer une MP :</w:t>
      </w:r>
    </w:p>
    <w:p w14:paraId="063ADED3" w14:textId="77777777" w:rsidR="009E5D50" w:rsidRPr="00205417" w:rsidRDefault="00EF1C26" w:rsidP="00FA7529">
      <w:pPr>
        <w:pStyle w:val="Paragraphes"/>
        <w:rPr>
          <w:sz w:val="18"/>
        </w:rPr>
      </w:pPr>
      <w:r w:rsidRPr="00205417">
        <w:rPr>
          <w:b/>
          <w:sz w:val="18"/>
        </w:rPr>
        <w:t xml:space="preserve">Déclaration d’une MP à </w:t>
      </w:r>
      <w:smartTag w:uri="urn:schemas-microsoft-com:office:smarttags" w:element="PersonName">
        <w:smartTagPr>
          <w:attr w:name="ProductID" w:val="la CPAM"/>
        </w:smartTagPr>
        <w:r w:rsidRPr="00205417">
          <w:rPr>
            <w:b/>
            <w:sz w:val="18"/>
          </w:rPr>
          <w:t>la CPAM</w:t>
        </w:r>
      </w:smartTag>
      <w:r w:rsidRPr="00205417">
        <w:rPr>
          <w:b/>
          <w:sz w:val="18"/>
        </w:rPr>
        <w:t> :</w:t>
      </w:r>
      <w:r w:rsidRPr="00205417">
        <w:rPr>
          <w:sz w:val="18"/>
        </w:rPr>
        <w:t xml:space="preserve"> la victime doit déclarer sa maladie à </w:t>
      </w:r>
      <w:smartTag w:uri="urn:schemas-microsoft-com:office:smarttags" w:element="PersonName">
        <w:smartTagPr>
          <w:attr w:name="ProductID" w:val="la CPAM"/>
        </w:smartTagPr>
        <w:r w:rsidRPr="00205417">
          <w:rPr>
            <w:sz w:val="18"/>
          </w:rPr>
          <w:t>la CPAM</w:t>
        </w:r>
      </w:smartTag>
      <w:r w:rsidRPr="00205417">
        <w:rPr>
          <w:sz w:val="18"/>
        </w:rPr>
        <w:t xml:space="preserve"> dont elle dépend dans les 15 jours qui suivent l’arrêt de travail ou le diagnostic de la maladie. Elle doit également remettre à </w:t>
      </w:r>
      <w:smartTag w:uri="urn:schemas-microsoft-com:office:smarttags" w:element="PersonName">
        <w:smartTagPr>
          <w:attr w:name="ProductID" w:val="la CPAM"/>
        </w:smartTagPr>
        <w:r w:rsidRPr="00205417">
          <w:rPr>
            <w:sz w:val="18"/>
          </w:rPr>
          <w:t>la CPAM</w:t>
        </w:r>
      </w:smartTag>
      <w:r w:rsidRPr="00205417">
        <w:rPr>
          <w:sz w:val="18"/>
        </w:rPr>
        <w:t xml:space="preserve"> le certificat médical établi par le médecin.</w:t>
      </w:r>
    </w:p>
    <w:p w14:paraId="1B82F19D" w14:textId="77777777" w:rsidR="00EF1C26" w:rsidRPr="00205417" w:rsidRDefault="00EF1C26" w:rsidP="00FA7529">
      <w:pPr>
        <w:pStyle w:val="Paragraphes"/>
        <w:rPr>
          <w:sz w:val="18"/>
        </w:rPr>
      </w:pPr>
      <w:r w:rsidRPr="00205417">
        <w:rPr>
          <w:b/>
          <w:sz w:val="18"/>
        </w:rPr>
        <w:t>Le certificat médical :</w:t>
      </w:r>
      <w:r w:rsidRPr="00205417">
        <w:rPr>
          <w:sz w:val="18"/>
        </w:rPr>
        <w:t xml:space="preserve"> le médecin qui examine le malade doit établir un certificat dans lequel il précise la nature et les manifestations de la maladie dont souffre le patient, les soins qu’il doit suivre et la nécessité d’un arrêt de travail. </w:t>
      </w:r>
      <w:smartTag w:uri="urn:schemas-microsoft-com:office:smarttags" w:element="PersonName">
        <w:smartTagPr>
          <w:attr w:name="ProductID" w:val="la CPAM"/>
        </w:smartTagPr>
        <w:r w:rsidRPr="00205417">
          <w:rPr>
            <w:sz w:val="18"/>
          </w:rPr>
          <w:t>La CPAM</w:t>
        </w:r>
      </w:smartTag>
      <w:r w:rsidRPr="00205417">
        <w:rPr>
          <w:sz w:val="18"/>
        </w:rPr>
        <w:t xml:space="preserve"> peut procéder à un contrôle médical auquel l’accidenté sera tenu de se soumettre.</w:t>
      </w:r>
    </w:p>
    <w:p w14:paraId="097BC6EA" w14:textId="77777777" w:rsidR="009E5D50" w:rsidRDefault="00EF1C26" w:rsidP="00EF1C26">
      <w:pPr>
        <w:pStyle w:val="Titresousparagraphe"/>
      </w:pPr>
      <w:r>
        <w:t>23 – Prestations permettant d’indemniser une victime :</w:t>
      </w:r>
    </w:p>
    <w:p w14:paraId="6C8ABF4B" w14:textId="77777777" w:rsidR="00EF1C26" w:rsidRPr="00205417" w:rsidRDefault="00506580" w:rsidP="00FA7529">
      <w:pPr>
        <w:pStyle w:val="Paragraphes"/>
        <w:rPr>
          <w:sz w:val="18"/>
        </w:rPr>
      </w:pPr>
      <w:r w:rsidRPr="00205417">
        <w:rPr>
          <w:b/>
          <w:sz w:val="18"/>
        </w:rPr>
        <w:t>Prestations en nature :</w:t>
      </w:r>
      <w:r w:rsidRPr="00205417">
        <w:rPr>
          <w:sz w:val="18"/>
        </w:rPr>
        <w:t xml:space="preserve"> la victime d’un AT n’a pas à avancer les frais de soins qu’elle reçoit, ni le forfait d’hospitalisation : tout est pris en charge à 100% dans la limite des tarifs de </w:t>
      </w:r>
      <w:smartTag w:uri="urn:schemas-microsoft-com:office:smarttags" w:element="PersonName">
        <w:smartTagPr>
          <w:attr w:name="ProductID" w:val="la S￩curit￩ Sociale."/>
        </w:smartTagPr>
        <w:r w:rsidRPr="00205417">
          <w:rPr>
            <w:sz w:val="18"/>
          </w:rPr>
          <w:t>la Sécurité Sociale.</w:t>
        </w:r>
      </w:smartTag>
    </w:p>
    <w:p w14:paraId="21D99A9B" w14:textId="77777777" w:rsidR="00506580" w:rsidRPr="00205417" w:rsidRDefault="00506580" w:rsidP="00205417">
      <w:pPr>
        <w:pStyle w:val="Paragraphes"/>
        <w:rPr>
          <w:sz w:val="18"/>
        </w:rPr>
      </w:pPr>
      <w:r w:rsidRPr="00205417">
        <w:rPr>
          <w:sz w:val="18"/>
        </w:rPr>
        <w:t xml:space="preserve">Pendant toute la durée de l’AT, la victime reçoit des </w:t>
      </w:r>
      <w:r w:rsidRPr="00205417">
        <w:rPr>
          <w:b/>
          <w:sz w:val="18"/>
        </w:rPr>
        <w:t>indemnités journalières</w:t>
      </w:r>
      <w:r w:rsidRPr="00205417">
        <w:rPr>
          <w:sz w:val="18"/>
        </w:rPr>
        <w:t xml:space="preserve"> de maladie. </w:t>
      </w:r>
      <w:r w:rsidR="00205417" w:rsidRPr="00205417">
        <w:rPr>
          <w:sz w:val="18"/>
        </w:rPr>
        <w:t>Le</w:t>
      </w:r>
      <w:r w:rsidRPr="00205417">
        <w:rPr>
          <w:sz w:val="18"/>
        </w:rPr>
        <w:t xml:space="preserve"> jour de l’accident est payé normalement par l’employeur. Par suite, la victime reçoit une indemnité journalière égale à 60% du salaire journalier de base pendant les 28 premiers jours d’AT. Cette indemnité passe à 80% dès le 29</w:t>
      </w:r>
      <w:r w:rsidRPr="00205417">
        <w:rPr>
          <w:sz w:val="18"/>
          <w:vertAlign w:val="superscript"/>
        </w:rPr>
        <w:t>ème</w:t>
      </w:r>
      <w:r w:rsidRPr="00205417">
        <w:rPr>
          <w:sz w:val="18"/>
        </w:rPr>
        <w:t xml:space="preserve"> jour d’AT.</w:t>
      </w:r>
      <w:r w:rsidR="00DF3FB9" w:rsidRPr="00205417">
        <w:rPr>
          <w:sz w:val="18"/>
        </w:rPr>
        <w:t xml:space="preserve"> </w:t>
      </w:r>
      <w:r w:rsidRPr="00205417">
        <w:rPr>
          <w:sz w:val="18"/>
        </w:rPr>
        <w:t>Si à la suite de l’accident le salarié a une incapacité permanente partielle ou totale, il percevra une rente. Le montant annuel de cette rente est obtenu en multipliant le taux de la rente par les salaires perçus pendant les 12 mois ayant précédé l’AT consécutif à l’accident. Si le taux est inférieur à 10%, la rente est remplacée par une indemnité en capital.</w:t>
      </w:r>
    </w:p>
    <w:p w14:paraId="340CF79D" w14:textId="77777777" w:rsidR="00DF3FB9" w:rsidRDefault="00DF3FB9" w:rsidP="00DF3FB9">
      <w:pPr>
        <w:pStyle w:val="Titresousparagraphe"/>
      </w:pPr>
      <w:r>
        <w:t>24 – Application :</w:t>
      </w:r>
    </w:p>
    <w:p w14:paraId="70840A90" w14:textId="77777777" w:rsidR="00DF3FB9" w:rsidRDefault="00DF3FB9" w:rsidP="00FA7529">
      <w:pPr>
        <w:pStyle w:val="Paragraphes"/>
      </w:pPr>
      <w:r>
        <w:t>Un salarié a un salaire de 1710€. Il est victime d’un AT entrainant une incapacité temporaire de 85 jours et ensuite une incapacité permanente reconnue médicalement à 62%</w:t>
      </w:r>
    </w:p>
    <w:p w14:paraId="14962FED" w14:textId="77777777" w:rsidR="00DF3FB9" w:rsidRDefault="00DF3FB9" w:rsidP="00DF3FB9">
      <w:pPr>
        <w:pStyle w:val="Paragraphes"/>
        <w:spacing w:before="120" w:after="120"/>
        <w:ind w:left="0"/>
        <w:rPr>
          <w:rFonts w:ascii="Lucida Handwriting" w:hAnsi="Lucida Handwriting"/>
          <w:b/>
          <w:sz w:val="22"/>
        </w:rPr>
      </w:pPr>
      <w:r>
        <w:rPr>
          <w:rFonts w:ascii="Lucida Handwriting" w:hAnsi="Lucida Handwriting"/>
          <w:b/>
          <w:sz w:val="22"/>
        </w:rPr>
        <w:t>Calculer le montant des indemnités perçues durant l’incapacité temporaire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3637"/>
        <w:gridCol w:w="3638"/>
      </w:tblGrid>
      <w:tr w:rsidR="00DF3FB9" w:rsidRPr="00A05723" w14:paraId="0D683433" w14:textId="77777777" w:rsidTr="00A04736">
        <w:tc>
          <w:tcPr>
            <w:tcW w:w="3637" w:type="dxa"/>
            <w:tcBorders>
              <w:top w:val="nil"/>
              <w:left w:val="nil"/>
              <w:bottom w:val="single" w:sz="4" w:space="0" w:color="auto"/>
            </w:tcBorders>
            <w:vAlign w:val="center"/>
          </w:tcPr>
          <w:p w14:paraId="60B94314" w14:textId="77777777" w:rsidR="00DF3FB9" w:rsidRPr="00A05723" w:rsidRDefault="00DF3FB9" w:rsidP="00A04736">
            <w:pPr>
              <w:pStyle w:val="Paragraphes"/>
              <w:spacing w:before="120" w:after="120"/>
              <w:ind w:left="0"/>
            </w:pPr>
          </w:p>
        </w:tc>
        <w:tc>
          <w:tcPr>
            <w:tcW w:w="3637" w:type="dxa"/>
            <w:shd w:val="clear" w:color="auto" w:fill="CCFFCC"/>
            <w:vAlign w:val="center"/>
          </w:tcPr>
          <w:p w14:paraId="3E4F4802" w14:textId="77777777" w:rsidR="00DF3FB9" w:rsidRPr="00A05723" w:rsidRDefault="00DF3FB9" w:rsidP="00A04736">
            <w:pPr>
              <w:pStyle w:val="Paragraphes"/>
              <w:spacing w:before="120" w:after="120"/>
              <w:ind w:left="0"/>
              <w:jc w:val="center"/>
              <w:rPr>
                <w:b/>
              </w:rPr>
            </w:pPr>
            <w:r w:rsidRPr="00A05723">
              <w:rPr>
                <w:b/>
              </w:rPr>
              <w:t>Indemnité</w:t>
            </w:r>
            <w:r w:rsidR="00363344">
              <w:rPr>
                <w:b/>
              </w:rPr>
              <w:t>s</w:t>
            </w:r>
            <w:r w:rsidRPr="00A05723">
              <w:rPr>
                <w:b/>
              </w:rPr>
              <w:t xml:space="preserve"> versé</w:t>
            </w:r>
            <w:r w:rsidR="00363344">
              <w:rPr>
                <w:b/>
              </w:rPr>
              <w:t>e</w:t>
            </w:r>
            <w:r w:rsidRPr="00A05723">
              <w:rPr>
                <w:b/>
              </w:rPr>
              <w:t>s par la CPAM</w:t>
            </w:r>
          </w:p>
        </w:tc>
        <w:tc>
          <w:tcPr>
            <w:tcW w:w="3638" w:type="dxa"/>
            <w:shd w:val="clear" w:color="auto" w:fill="CCFFCC"/>
            <w:vAlign w:val="center"/>
          </w:tcPr>
          <w:p w14:paraId="028A443B" w14:textId="77777777" w:rsidR="00DF3FB9" w:rsidRPr="00A05723" w:rsidRDefault="00DF3FB9" w:rsidP="00A04736">
            <w:pPr>
              <w:pStyle w:val="Paragraphes"/>
              <w:spacing w:before="120" w:after="120"/>
              <w:ind w:left="0"/>
              <w:jc w:val="center"/>
              <w:rPr>
                <w:b/>
              </w:rPr>
            </w:pPr>
            <w:r w:rsidRPr="00A05723">
              <w:rPr>
                <w:b/>
              </w:rPr>
              <w:t>Indemnités reçues par le salarié</w:t>
            </w:r>
          </w:p>
        </w:tc>
      </w:tr>
      <w:tr w:rsidR="00DF3FB9" w:rsidRPr="00A05723" w14:paraId="37FAF876" w14:textId="77777777" w:rsidTr="00A04736">
        <w:tc>
          <w:tcPr>
            <w:tcW w:w="3637" w:type="dxa"/>
            <w:shd w:val="clear" w:color="auto" w:fill="CCFFCC"/>
            <w:vAlign w:val="center"/>
          </w:tcPr>
          <w:p w14:paraId="71A734CF" w14:textId="77777777" w:rsidR="00DF3FB9" w:rsidRPr="00A05723" w:rsidRDefault="00DF3FB9" w:rsidP="00A04736">
            <w:pPr>
              <w:pStyle w:val="Paragraphes"/>
              <w:spacing w:before="180" w:after="180"/>
              <w:ind w:left="0"/>
              <w:jc w:val="center"/>
              <w:rPr>
                <w:b/>
              </w:rPr>
            </w:pPr>
            <w:r w:rsidRPr="00A05723">
              <w:rPr>
                <w:b/>
              </w:rPr>
              <w:t>Les 28 premiers jours</w:t>
            </w:r>
          </w:p>
        </w:tc>
        <w:tc>
          <w:tcPr>
            <w:tcW w:w="3637" w:type="dxa"/>
            <w:vAlign w:val="center"/>
          </w:tcPr>
          <w:p w14:paraId="36A1E774" w14:textId="77777777" w:rsidR="00DF3FB9" w:rsidRPr="00A05723" w:rsidRDefault="00DF3FB9" w:rsidP="00A04736">
            <w:pPr>
              <w:pStyle w:val="Paragraphes"/>
              <w:spacing w:before="180" w:after="180"/>
              <w:ind w:left="0"/>
              <w:jc w:val="center"/>
              <w:rPr>
                <w:sz w:val="22"/>
                <w:szCs w:val="22"/>
              </w:rPr>
            </w:pPr>
            <w:r w:rsidRPr="00A05723">
              <w:rPr>
                <w:sz w:val="22"/>
                <w:szCs w:val="22"/>
              </w:rPr>
              <w:t>60% du salaire journalier</w:t>
            </w:r>
          </w:p>
        </w:tc>
        <w:tc>
          <w:tcPr>
            <w:tcW w:w="3638" w:type="dxa"/>
            <w:vAlign w:val="center"/>
          </w:tcPr>
          <w:p w14:paraId="7C392986" w14:textId="77777777" w:rsidR="00DF3FB9" w:rsidRPr="00A05723" w:rsidRDefault="00DF3FB9" w:rsidP="00A04736">
            <w:pPr>
              <w:pStyle w:val="Paragraphes"/>
              <w:spacing w:before="180" w:after="180"/>
              <w:ind w:left="0"/>
              <w:jc w:val="center"/>
              <w:rPr>
                <w:sz w:val="22"/>
                <w:szCs w:val="22"/>
              </w:rPr>
            </w:pPr>
            <w:r w:rsidRPr="00A05723">
              <w:rPr>
                <w:sz w:val="22"/>
                <w:szCs w:val="22"/>
              </w:rPr>
              <w:t>(1710/30</w:t>
            </w:r>
            <w:r w:rsidR="00C16D25">
              <w:rPr>
                <w:sz w:val="22"/>
                <w:szCs w:val="22"/>
              </w:rPr>
              <w:t>,42</w:t>
            </w:r>
            <w:r w:rsidRPr="00A05723">
              <w:rPr>
                <w:sz w:val="22"/>
                <w:szCs w:val="22"/>
              </w:rPr>
              <w:t>) x0,6 x28 = 9</w:t>
            </w:r>
            <w:r w:rsidR="003473A5">
              <w:rPr>
                <w:sz w:val="22"/>
                <w:szCs w:val="22"/>
              </w:rPr>
              <w:t>44</w:t>
            </w:r>
            <w:r w:rsidRPr="00A05723">
              <w:rPr>
                <w:sz w:val="22"/>
                <w:szCs w:val="22"/>
              </w:rPr>
              <w:t>,</w:t>
            </w:r>
            <w:r w:rsidR="003473A5">
              <w:rPr>
                <w:sz w:val="22"/>
                <w:szCs w:val="22"/>
              </w:rPr>
              <w:t>38</w:t>
            </w:r>
            <w:r w:rsidRPr="00A05723">
              <w:rPr>
                <w:sz w:val="22"/>
                <w:szCs w:val="22"/>
              </w:rPr>
              <w:t>€</w:t>
            </w:r>
          </w:p>
        </w:tc>
      </w:tr>
      <w:tr w:rsidR="00DF3FB9" w:rsidRPr="00A05723" w14:paraId="2E144232" w14:textId="77777777" w:rsidTr="00A04736">
        <w:tc>
          <w:tcPr>
            <w:tcW w:w="3637" w:type="dxa"/>
            <w:tcBorders>
              <w:bottom w:val="single" w:sz="4" w:space="0" w:color="auto"/>
            </w:tcBorders>
            <w:shd w:val="clear" w:color="auto" w:fill="CCFFCC"/>
            <w:vAlign w:val="center"/>
          </w:tcPr>
          <w:p w14:paraId="321A873B" w14:textId="77777777" w:rsidR="00DF3FB9" w:rsidRPr="00A05723" w:rsidRDefault="00DF3FB9" w:rsidP="00A04736">
            <w:pPr>
              <w:pStyle w:val="Paragraphes"/>
              <w:spacing w:before="180" w:after="180"/>
              <w:ind w:left="0"/>
              <w:jc w:val="center"/>
              <w:rPr>
                <w:b/>
              </w:rPr>
            </w:pPr>
            <w:r w:rsidRPr="00A05723">
              <w:rPr>
                <w:b/>
              </w:rPr>
              <w:t>A partir du 29</w:t>
            </w:r>
            <w:r w:rsidRPr="00A05723">
              <w:rPr>
                <w:b/>
                <w:vertAlign w:val="superscript"/>
              </w:rPr>
              <w:t>ème</w:t>
            </w:r>
            <w:r w:rsidRPr="00A05723">
              <w:rPr>
                <w:b/>
              </w:rPr>
              <w:t xml:space="preserve"> jour</w:t>
            </w:r>
          </w:p>
        </w:tc>
        <w:tc>
          <w:tcPr>
            <w:tcW w:w="3637" w:type="dxa"/>
            <w:tcBorders>
              <w:bottom w:val="single" w:sz="4" w:space="0" w:color="auto"/>
            </w:tcBorders>
            <w:vAlign w:val="center"/>
          </w:tcPr>
          <w:p w14:paraId="3EC2BD66" w14:textId="77777777" w:rsidR="00DF3FB9" w:rsidRPr="00A05723" w:rsidRDefault="00DF3FB9" w:rsidP="00A04736">
            <w:pPr>
              <w:pStyle w:val="Paragraphes"/>
              <w:spacing w:before="180" w:after="180"/>
              <w:ind w:left="0"/>
              <w:jc w:val="center"/>
              <w:rPr>
                <w:sz w:val="22"/>
                <w:szCs w:val="22"/>
              </w:rPr>
            </w:pPr>
            <w:r w:rsidRPr="00A05723">
              <w:rPr>
                <w:sz w:val="22"/>
                <w:szCs w:val="22"/>
              </w:rPr>
              <w:t>80% du salaire journalier</w:t>
            </w:r>
          </w:p>
        </w:tc>
        <w:tc>
          <w:tcPr>
            <w:tcW w:w="3638" w:type="dxa"/>
            <w:vAlign w:val="center"/>
          </w:tcPr>
          <w:p w14:paraId="4FE8B929" w14:textId="77777777" w:rsidR="00DF3FB9" w:rsidRPr="00A05723" w:rsidRDefault="00DF3FB9" w:rsidP="00A04736">
            <w:pPr>
              <w:pStyle w:val="Paragraphes"/>
              <w:spacing w:before="180" w:after="180"/>
              <w:ind w:left="0"/>
              <w:jc w:val="center"/>
              <w:rPr>
                <w:sz w:val="22"/>
                <w:szCs w:val="22"/>
              </w:rPr>
            </w:pPr>
            <w:r w:rsidRPr="00A05723">
              <w:rPr>
                <w:szCs w:val="22"/>
              </w:rPr>
              <w:t>(1710/30</w:t>
            </w:r>
            <w:r w:rsidR="003473A5">
              <w:rPr>
                <w:szCs w:val="22"/>
              </w:rPr>
              <w:t>,42</w:t>
            </w:r>
            <w:r w:rsidRPr="00A05723">
              <w:rPr>
                <w:szCs w:val="22"/>
              </w:rPr>
              <w:t>) x0,8 x(85-28) = 25</w:t>
            </w:r>
            <w:r w:rsidR="003473A5">
              <w:rPr>
                <w:szCs w:val="22"/>
              </w:rPr>
              <w:t>63</w:t>
            </w:r>
            <w:r w:rsidRPr="00A05723">
              <w:rPr>
                <w:szCs w:val="22"/>
              </w:rPr>
              <w:t>,</w:t>
            </w:r>
            <w:r w:rsidR="003473A5">
              <w:rPr>
                <w:szCs w:val="22"/>
              </w:rPr>
              <w:t>31</w:t>
            </w:r>
            <w:r w:rsidRPr="00A05723">
              <w:rPr>
                <w:szCs w:val="22"/>
              </w:rPr>
              <w:t>€</w:t>
            </w:r>
          </w:p>
        </w:tc>
      </w:tr>
      <w:tr w:rsidR="00DF3FB9" w:rsidRPr="00A05723" w14:paraId="75799567" w14:textId="77777777" w:rsidTr="00A04736">
        <w:tc>
          <w:tcPr>
            <w:tcW w:w="7274" w:type="dxa"/>
            <w:gridSpan w:val="2"/>
            <w:tcBorders>
              <w:left w:val="nil"/>
              <w:bottom w:val="nil"/>
            </w:tcBorders>
            <w:vAlign w:val="center"/>
          </w:tcPr>
          <w:p w14:paraId="5A3C4C02" w14:textId="77777777" w:rsidR="00DF3FB9" w:rsidRPr="00A05723" w:rsidRDefault="00DF3FB9" w:rsidP="00A04736">
            <w:pPr>
              <w:pStyle w:val="Paragraphes"/>
              <w:spacing w:before="180" w:after="180"/>
              <w:ind w:left="0"/>
              <w:jc w:val="right"/>
              <w:rPr>
                <w:b/>
                <w:sz w:val="22"/>
              </w:rPr>
            </w:pPr>
            <w:r w:rsidRPr="00A05723">
              <w:rPr>
                <w:b/>
                <w:sz w:val="22"/>
              </w:rPr>
              <w:t>TOTAL</w:t>
            </w:r>
          </w:p>
        </w:tc>
        <w:tc>
          <w:tcPr>
            <w:tcW w:w="3638" w:type="dxa"/>
            <w:vAlign w:val="center"/>
          </w:tcPr>
          <w:p w14:paraId="563CCC61" w14:textId="77777777" w:rsidR="00DF3FB9" w:rsidRPr="00A05723" w:rsidRDefault="00DF3FB9" w:rsidP="00A04736">
            <w:pPr>
              <w:pStyle w:val="Paragraphes"/>
              <w:spacing w:before="180" w:after="180"/>
              <w:ind w:left="0"/>
              <w:jc w:val="center"/>
              <w:rPr>
                <w:sz w:val="22"/>
                <w:szCs w:val="22"/>
              </w:rPr>
            </w:pPr>
            <w:r w:rsidRPr="00A05723">
              <w:rPr>
                <w:sz w:val="22"/>
                <w:szCs w:val="22"/>
              </w:rPr>
              <w:t>35</w:t>
            </w:r>
            <w:r w:rsidR="003473A5">
              <w:rPr>
                <w:sz w:val="22"/>
                <w:szCs w:val="22"/>
              </w:rPr>
              <w:t>07</w:t>
            </w:r>
            <w:r w:rsidRPr="00A05723">
              <w:rPr>
                <w:sz w:val="22"/>
                <w:szCs w:val="22"/>
              </w:rPr>
              <w:t>,</w:t>
            </w:r>
            <w:r w:rsidR="003473A5">
              <w:rPr>
                <w:sz w:val="22"/>
                <w:szCs w:val="22"/>
              </w:rPr>
              <w:t>69</w:t>
            </w:r>
            <w:r w:rsidRPr="00A05723">
              <w:rPr>
                <w:sz w:val="22"/>
                <w:szCs w:val="22"/>
              </w:rPr>
              <w:t>€</w:t>
            </w:r>
          </w:p>
        </w:tc>
      </w:tr>
    </w:tbl>
    <w:p w14:paraId="54658D66" w14:textId="77777777" w:rsidR="00DF3FB9" w:rsidRPr="00A05723" w:rsidRDefault="00DF3FB9" w:rsidP="00DF3FB9">
      <w:pPr>
        <w:pStyle w:val="Paragraphes"/>
        <w:spacing w:before="120" w:after="120"/>
        <w:ind w:left="0"/>
        <w:rPr>
          <w:rFonts w:ascii="Lucida Handwriting" w:hAnsi="Lucida Handwriting"/>
          <w:b/>
          <w:sz w:val="22"/>
        </w:rPr>
      </w:pPr>
      <w:r w:rsidRPr="00A05723">
        <w:rPr>
          <w:rFonts w:ascii="Lucida Handwriting" w:hAnsi="Lucida Handwriting"/>
          <w:b/>
          <w:sz w:val="22"/>
        </w:rPr>
        <w:t xml:space="preserve">Calculer le montant </w:t>
      </w:r>
      <w:r w:rsidR="00205417" w:rsidRPr="00A05723">
        <w:rPr>
          <w:rFonts w:ascii="Lucida Handwriting" w:hAnsi="Lucida Handwriting"/>
          <w:b/>
          <w:sz w:val="22"/>
        </w:rPr>
        <w:t>de la rente perçue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783"/>
        <w:gridCol w:w="2822"/>
        <w:gridCol w:w="2465"/>
      </w:tblGrid>
      <w:tr w:rsidR="00205417" w:rsidRPr="00A05723" w14:paraId="6E60CDFC" w14:textId="77777777" w:rsidTr="00A04736">
        <w:tc>
          <w:tcPr>
            <w:tcW w:w="2918" w:type="dxa"/>
            <w:tcBorders>
              <w:top w:val="single" w:sz="4" w:space="0" w:color="auto"/>
              <w:left w:val="single" w:sz="4" w:space="0" w:color="auto"/>
              <w:bottom w:val="single" w:sz="4" w:space="0" w:color="auto"/>
            </w:tcBorders>
            <w:shd w:val="clear" w:color="auto" w:fill="CCFFCC"/>
            <w:vAlign w:val="center"/>
          </w:tcPr>
          <w:p w14:paraId="56EE5AFE" w14:textId="77777777" w:rsidR="00205417" w:rsidRPr="00A05723" w:rsidRDefault="00205417" w:rsidP="00A04736">
            <w:pPr>
              <w:pStyle w:val="Paragraphes"/>
              <w:spacing w:before="120" w:after="120"/>
              <w:ind w:left="0"/>
              <w:jc w:val="center"/>
              <w:rPr>
                <w:b/>
              </w:rPr>
            </w:pPr>
            <w:r w:rsidRPr="00A05723">
              <w:rPr>
                <w:b/>
              </w:rPr>
              <w:t>Incapacité médicalement reconnue (IMR)</w:t>
            </w:r>
          </w:p>
        </w:tc>
        <w:tc>
          <w:tcPr>
            <w:tcW w:w="8070" w:type="dxa"/>
            <w:gridSpan w:val="3"/>
            <w:shd w:val="clear" w:color="auto" w:fill="CCFFCC"/>
            <w:vAlign w:val="center"/>
          </w:tcPr>
          <w:p w14:paraId="1125B36B" w14:textId="77777777" w:rsidR="00205417" w:rsidRPr="00A05723" w:rsidRDefault="00205417" w:rsidP="00A04736">
            <w:pPr>
              <w:pStyle w:val="Paragraphes"/>
              <w:spacing w:before="120" w:after="120"/>
              <w:ind w:left="0"/>
              <w:jc w:val="center"/>
              <w:rPr>
                <w:b/>
              </w:rPr>
            </w:pPr>
            <w:r w:rsidRPr="00A05723">
              <w:rPr>
                <w:b/>
              </w:rPr>
              <w:t>Taux d’incapacité</w:t>
            </w:r>
          </w:p>
        </w:tc>
      </w:tr>
      <w:tr w:rsidR="00205417" w:rsidRPr="00A05723" w14:paraId="249D471E" w14:textId="77777777" w:rsidTr="00A04736">
        <w:tc>
          <w:tcPr>
            <w:tcW w:w="2918" w:type="dxa"/>
            <w:vMerge w:val="restart"/>
            <w:shd w:val="clear" w:color="auto" w:fill="CCFFCC"/>
            <w:vAlign w:val="center"/>
          </w:tcPr>
          <w:p w14:paraId="12CB2CA5" w14:textId="77777777" w:rsidR="00205417" w:rsidRPr="00A05723" w:rsidRDefault="00205417" w:rsidP="00A04736">
            <w:pPr>
              <w:pStyle w:val="Paragraphes"/>
              <w:spacing w:before="180" w:after="180"/>
              <w:ind w:left="0"/>
              <w:jc w:val="center"/>
              <w:rPr>
                <w:b/>
              </w:rPr>
            </w:pPr>
            <w:r w:rsidRPr="00A05723">
              <w:rPr>
                <w:b/>
              </w:rPr>
              <w:t>62%</w:t>
            </w:r>
          </w:p>
        </w:tc>
        <w:tc>
          <w:tcPr>
            <w:tcW w:w="2783" w:type="dxa"/>
            <w:vAlign w:val="center"/>
          </w:tcPr>
          <w:p w14:paraId="177C5F3B" w14:textId="77777777" w:rsidR="00205417" w:rsidRPr="00A05723" w:rsidRDefault="00205417" w:rsidP="00A04736">
            <w:pPr>
              <w:pStyle w:val="Paragraphes"/>
              <w:spacing w:before="180" w:after="180"/>
              <w:ind w:left="0"/>
              <w:jc w:val="center"/>
              <w:rPr>
                <w:sz w:val="22"/>
                <w:szCs w:val="22"/>
              </w:rPr>
            </w:pPr>
            <w:r w:rsidRPr="00A05723">
              <w:rPr>
                <w:sz w:val="22"/>
                <w:szCs w:val="22"/>
              </w:rPr>
              <w:t>(Partie IMR &lt; 50%) / 2</w:t>
            </w:r>
          </w:p>
        </w:tc>
        <w:tc>
          <w:tcPr>
            <w:tcW w:w="2822" w:type="dxa"/>
            <w:vAlign w:val="center"/>
          </w:tcPr>
          <w:p w14:paraId="195E1122" w14:textId="77777777" w:rsidR="00205417" w:rsidRPr="00A05723" w:rsidRDefault="00205417" w:rsidP="00A04736">
            <w:pPr>
              <w:pStyle w:val="Paragraphes"/>
              <w:spacing w:before="180" w:after="180"/>
              <w:ind w:left="0"/>
              <w:jc w:val="center"/>
              <w:rPr>
                <w:sz w:val="22"/>
                <w:szCs w:val="22"/>
              </w:rPr>
            </w:pPr>
            <w:r w:rsidRPr="00A05723">
              <w:rPr>
                <w:sz w:val="22"/>
                <w:szCs w:val="22"/>
              </w:rPr>
              <w:t>(50% / 2) = 25%</w:t>
            </w:r>
          </w:p>
        </w:tc>
        <w:tc>
          <w:tcPr>
            <w:tcW w:w="2465" w:type="dxa"/>
            <w:vMerge w:val="restart"/>
            <w:vAlign w:val="center"/>
          </w:tcPr>
          <w:p w14:paraId="48C40FC1" w14:textId="77777777" w:rsidR="00205417" w:rsidRPr="00A05723" w:rsidRDefault="00205417" w:rsidP="00A04736">
            <w:pPr>
              <w:pStyle w:val="Paragraphes"/>
              <w:spacing w:before="180" w:after="180"/>
              <w:ind w:left="0"/>
              <w:jc w:val="center"/>
              <w:rPr>
                <w:sz w:val="22"/>
                <w:szCs w:val="22"/>
              </w:rPr>
            </w:pPr>
            <w:r w:rsidRPr="00A05723">
              <w:rPr>
                <w:sz w:val="22"/>
                <w:szCs w:val="22"/>
              </w:rPr>
              <w:t>25 + 18 = 43%</w:t>
            </w:r>
          </w:p>
        </w:tc>
      </w:tr>
      <w:tr w:rsidR="00205417" w:rsidRPr="00A05723" w14:paraId="56144436" w14:textId="77777777" w:rsidTr="00A04736">
        <w:tc>
          <w:tcPr>
            <w:tcW w:w="2918" w:type="dxa"/>
            <w:vMerge/>
            <w:tcBorders>
              <w:bottom w:val="single" w:sz="4" w:space="0" w:color="auto"/>
            </w:tcBorders>
            <w:shd w:val="clear" w:color="auto" w:fill="CCFFCC"/>
            <w:vAlign w:val="center"/>
          </w:tcPr>
          <w:p w14:paraId="40BE01DF" w14:textId="77777777" w:rsidR="00205417" w:rsidRPr="00A05723" w:rsidRDefault="00205417" w:rsidP="00A04736">
            <w:pPr>
              <w:pStyle w:val="Paragraphes"/>
              <w:spacing w:before="180" w:after="180"/>
              <w:ind w:left="0"/>
              <w:jc w:val="center"/>
              <w:rPr>
                <w:b/>
              </w:rPr>
            </w:pPr>
          </w:p>
        </w:tc>
        <w:tc>
          <w:tcPr>
            <w:tcW w:w="2783" w:type="dxa"/>
            <w:tcBorders>
              <w:bottom w:val="single" w:sz="4" w:space="0" w:color="auto"/>
            </w:tcBorders>
            <w:vAlign w:val="center"/>
          </w:tcPr>
          <w:p w14:paraId="545A95C9" w14:textId="77777777" w:rsidR="00205417" w:rsidRPr="00A05723" w:rsidRDefault="00205417" w:rsidP="00A04736">
            <w:pPr>
              <w:pStyle w:val="Paragraphes"/>
              <w:spacing w:before="180" w:after="180"/>
              <w:ind w:left="0"/>
              <w:jc w:val="center"/>
              <w:rPr>
                <w:sz w:val="22"/>
                <w:szCs w:val="22"/>
              </w:rPr>
            </w:pPr>
            <w:r w:rsidRPr="00A05723">
              <w:rPr>
                <w:sz w:val="22"/>
                <w:szCs w:val="22"/>
              </w:rPr>
              <w:t>(Partie IMR &gt; 50%) x 1,5</w:t>
            </w:r>
          </w:p>
        </w:tc>
        <w:tc>
          <w:tcPr>
            <w:tcW w:w="2822" w:type="dxa"/>
            <w:vAlign w:val="center"/>
          </w:tcPr>
          <w:p w14:paraId="32312EB1" w14:textId="77777777" w:rsidR="00205417" w:rsidRPr="00A05723" w:rsidRDefault="00205417" w:rsidP="00A04736">
            <w:pPr>
              <w:pStyle w:val="Paragraphes"/>
              <w:spacing w:before="180" w:after="180"/>
              <w:ind w:left="0"/>
              <w:jc w:val="center"/>
              <w:rPr>
                <w:sz w:val="22"/>
                <w:szCs w:val="22"/>
              </w:rPr>
            </w:pPr>
            <w:r w:rsidRPr="00A05723">
              <w:rPr>
                <w:szCs w:val="22"/>
              </w:rPr>
              <w:t>(62-50) x 1,5 = 18%</w:t>
            </w:r>
          </w:p>
        </w:tc>
        <w:tc>
          <w:tcPr>
            <w:tcW w:w="2465" w:type="dxa"/>
            <w:vMerge/>
          </w:tcPr>
          <w:p w14:paraId="23D8FAA5" w14:textId="77777777" w:rsidR="00205417" w:rsidRPr="00A05723" w:rsidRDefault="00205417" w:rsidP="00A04736">
            <w:pPr>
              <w:pStyle w:val="Paragraphes"/>
              <w:spacing w:before="180" w:after="180"/>
              <w:ind w:left="0"/>
              <w:jc w:val="center"/>
              <w:rPr>
                <w:szCs w:val="22"/>
              </w:rPr>
            </w:pPr>
          </w:p>
        </w:tc>
      </w:tr>
      <w:tr w:rsidR="00205417" w:rsidRPr="00A05723" w14:paraId="72631DAA" w14:textId="77777777" w:rsidTr="00A04736">
        <w:tc>
          <w:tcPr>
            <w:tcW w:w="5701" w:type="dxa"/>
            <w:gridSpan w:val="2"/>
            <w:tcBorders>
              <w:left w:val="nil"/>
              <w:bottom w:val="nil"/>
            </w:tcBorders>
            <w:vAlign w:val="center"/>
          </w:tcPr>
          <w:p w14:paraId="6289B544" w14:textId="77777777" w:rsidR="00205417" w:rsidRPr="00A05723" w:rsidRDefault="00205417" w:rsidP="00A04736">
            <w:pPr>
              <w:pStyle w:val="Paragraphes"/>
              <w:spacing w:before="180" w:after="180"/>
              <w:ind w:left="0"/>
              <w:jc w:val="right"/>
              <w:rPr>
                <w:b/>
                <w:sz w:val="22"/>
              </w:rPr>
            </w:pPr>
            <w:r w:rsidRPr="00A05723">
              <w:rPr>
                <w:b/>
                <w:sz w:val="22"/>
              </w:rPr>
              <w:t>RENTE ANNUELLE PERCUE</w:t>
            </w:r>
          </w:p>
        </w:tc>
        <w:tc>
          <w:tcPr>
            <w:tcW w:w="5287" w:type="dxa"/>
            <w:gridSpan w:val="2"/>
            <w:vAlign w:val="center"/>
          </w:tcPr>
          <w:p w14:paraId="57FBCFE3" w14:textId="77777777" w:rsidR="00205417" w:rsidRPr="00A05723" w:rsidRDefault="00205417" w:rsidP="00A04736">
            <w:pPr>
              <w:pStyle w:val="Paragraphes"/>
              <w:spacing w:before="180" w:after="180"/>
              <w:ind w:left="0"/>
              <w:jc w:val="center"/>
              <w:rPr>
                <w:sz w:val="22"/>
                <w:szCs w:val="22"/>
              </w:rPr>
            </w:pPr>
            <w:r w:rsidRPr="00A05723">
              <w:rPr>
                <w:sz w:val="22"/>
                <w:szCs w:val="22"/>
              </w:rPr>
              <w:t>1710x12 x 43% = 8823,60€</w:t>
            </w:r>
          </w:p>
        </w:tc>
      </w:tr>
    </w:tbl>
    <w:p w14:paraId="5F75F9AB" w14:textId="77777777" w:rsidR="00E62758" w:rsidRDefault="00E62758" w:rsidP="00205417">
      <w:pPr>
        <w:pStyle w:val="Paragraphes"/>
        <w:ind w:left="0"/>
      </w:pPr>
    </w:p>
    <w:sectPr w:rsidR="00E62758">
      <w:headerReference w:type="default" r:id="rId13"/>
      <w:footerReference w:type="default" r:id="rId14"/>
      <w:pgSz w:w="11906" w:h="16838"/>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21C30" w14:textId="77777777" w:rsidR="00516461" w:rsidRDefault="00516461">
      <w:r>
        <w:separator/>
      </w:r>
    </w:p>
  </w:endnote>
  <w:endnote w:type="continuationSeparator" w:id="0">
    <w:p w14:paraId="4C593EB1" w14:textId="77777777" w:rsidR="00516461" w:rsidRDefault="0051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E8C4" w14:textId="77777777" w:rsidR="00A76221" w:rsidRDefault="0088130C">
    <w:pPr>
      <w:pStyle w:val="Pieddepage"/>
      <w:jc w:val="right"/>
      <w:rPr>
        <w:rFonts w:ascii="Arial" w:hAnsi="Arial"/>
        <w:b/>
        <w:sz w:val="22"/>
      </w:rPr>
    </w:pPr>
    <w:r>
      <w:rPr>
        <w:rFonts w:ascii="Arial" w:hAnsi="Arial"/>
        <w:b/>
        <w:sz w:val="22"/>
        <w:highlight w:val="yellow"/>
      </w:rPr>
      <w:t>L</w:t>
    </w:r>
    <w:r w:rsidR="007646C2">
      <w:rPr>
        <w:rFonts w:ascii="Arial" w:hAnsi="Arial"/>
        <w:b/>
        <w:sz w:val="22"/>
        <w:highlight w:val="yellow"/>
      </w:rPr>
      <w:t xml:space="preserve">es </w:t>
    </w:r>
    <w:r w:rsidR="00B058AB">
      <w:rPr>
        <w:rFonts w:ascii="Arial" w:hAnsi="Arial"/>
        <w:b/>
        <w:sz w:val="22"/>
        <w:highlight w:val="yellow"/>
      </w:rPr>
      <w:t>aspects économiques</w:t>
    </w:r>
    <w:r w:rsidR="00A76221">
      <w:rPr>
        <w:rFonts w:ascii="Arial" w:hAnsi="Arial"/>
        <w:b/>
        <w:sz w:val="22"/>
        <w:highlight w:val="yellow"/>
      </w:rPr>
      <w:t xml:space="preserve"> - </w:t>
    </w:r>
    <w:r w:rsidR="00A76221">
      <w:rPr>
        <w:rStyle w:val="Numrodepage"/>
        <w:rFonts w:ascii="Arial" w:hAnsi="Arial"/>
        <w:b/>
        <w:sz w:val="22"/>
        <w:highlight w:val="yellow"/>
      </w:rPr>
      <w:fldChar w:fldCharType="begin"/>
    </w:r>
    <w:r w:rsidR="00A76221">
      <w:rPr>
        <w:rStyle w:val="Numrodepage"/>
        <w:rFonts w:ascii="Arial" w:hAnsi="Arial"/>
        <w:b/>
        <w:sz w:val="22"/>
        <w:highlight w:val="yellow"/>
      </w:rPr>
      <w:instrText xml:space="preserve"> PAGE </w:instrText>
    </w:r>
    <w:r w:rsidR="00A76221">
      <w:rPr>
        <w:rStyle w:val="Numrodepage"/>
        <w:rFonts w:ascii="Arial" w:hAnsi="Arial"/>
        <w:b/>
        <w:sz w:val="22"/>
        <w:highlight w:val="yellow"/>
      </w:rPr>
      <w:fldChar w:fldCharType="separate"/>
    </w:r>
    <w:r w:rsidR="00363344">
      <w:rPr>
        <w:rStyle w:val="Numrodepage"/>
        <w:rFonts w:ascii="Arial" w:hAnsi="Arial"/>
        <w:b/>
        <w:noProof/>
        <w:sz w:val="22"/>
        <w:highlight w:val="yellow"/>
      </w:rPr>
      <w:t>2</w:t>
    </w:r>
    <w:r w:rsidR="00A76221">
      <w:rPr>
        <w:rStyle w:val="Numrodepage"/>
        <w:rFonts w:ascii="Arial" w:hAnsi="Arial"/>
        <w:b/>
        <w:sz w:val="22"/>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5DE52" w14:textId="77777777" w:rsidR="00516461" w:rsidRDefault="00516461">
      <w:r>
        <w:separator/>
      </w:r>
    </w:p>
  </w:footnote>
  <w:footnote w:type="continuationSeparator" w:id="0">
    <w:p w14:paraId="51865A98" w14:textId="77777777" w:rsidR="00516461" w:rsidRDefault="0051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9F7EC" w14:textId="77777777" w:rsidR="00A76221" w:rsidRDefault="0088130C">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PREVENTION DES RISQUES</w:t>
    </w:r>
    <w:r w:rsidR="00A05723">
      <w:rPr>
        <w:rFonts w:ascii="Arial" w:hAnsi="Arial"/>
        <w:b/>
      </w:rPr>
      <w:tab/>
    </w:r>
    <w:r w:rsidR="00A05723">
      <w:rPr>
        <w:rFonts w:ascii="Arial" w:hAnsi="Arial"/>
        <w:b/>
      </w:rPr>
      <w:tab/>
    </w:r>
    <w:r w:rsidR="00A05723">
      <w:rPr>
        <w:rFonts w:ascii="Arial" w:hAnsi="Arial"/>
        <w:b/>
      </w:rPr>
      <w:tab/>
    </w:r>
    <w:r w:rsidR="00A05723">
      <w:rPr>
        <w:rFonts w:ascii="Arial" w:hAnsi="Arial"/>
        <w:b/>
      </w:rPr>
      <w:tab/>
      <w:t xml:space="preserve"> </w:t>
    </w:r>
    <w:r w:rsidR="00A76221">
      <w:rPr>
        <w:rFonts w:ascii="Arial" w:hAnsi="Arial"/>
        <w:b/>
      </w:rPr>
      <w:t>BTS M</w:t>
    </w:r>
    <w:r w:rsidR="00A05723">
      <w:rPr>
        <w:rFonts w:ascii="Arial" w:hAnsi="Arial"/>
        <w:b/>
      </w:rPr>
      <w:t>S</w:t>
    </w:r>
  </w:p>
  <w:p w14:paraId="1E88EFBA" w14:textId="77777777" w:rsidR="00A76221" w:rsidRDefault="00A76221">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L</w:t>
    </w:r>
    <w:r w:rsidR="007646C2">
      <w:rPr>
        <w:rFonts w:ascii="Arial" w:hAnsi="Arial"/>
        <w:b/>
        <w:sz w:val="24"/>
        <w:highlight w:val="yellow"/>
        <w:u w:val="single"/>
      </w:rPr>
      <w:t xml:space="preserve">ES </w:t>
    </w:r>
    <w:r w:rsidR="00B058AB">
      <w:rPr>
        <w:rFonts w:ascii="Arial" w:hAnsi="Arial"/>
        <w:b/>
        <w:sz w:val="24"/>
        <w:highlight w:val="yellow"/>
        <w:u w:val="single"/>
      </w:rPr>
      <w:t>ASPECTS ECONOMIQUES</w:t>
    </w:r>
  </w:p>
  <w:p w14:paraId="066187FE" w14:textId="77777777" w:rsidR="00A76221" w:rsidRDefault="00A76221">
    <w:pPr>
      <w:pStyle w:val="En-tte"/>
      <w:jc w:val="center"/>
      <w:rPr>
        <w:rFonts w:ascii="Arial" w:hAnsi="Arial"/>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F5E"/>
    <w:rsid w:val="00036D15"/>
    <w:rsid w:val="0004030A"/>
    <w:rsid w:val="0006366F"/>
    <w:rsid w:val="00067BFF"/>
    <w:rsid w:val="00086422"/>
    <w:rsid w:val="000A2533"/>
    <w:rsid w:val="001769C0"/>
    <w:rsid w:val="001B23BE"/>
    <w:rsid w:val="001E7B9E"/>
    <w:rsid w:val="001F6181"/>
    <w:rsid w:val="00205417"/>
    <w:rsid w:val="002314BF"/>
    <w:rsid w:val="00295AAC"/>
    <w:rsid w:val="002A0734"/>
    <w:rsid w:val="002F247D"/>
    <w:rsid w:val="002F5B81"/>
    <w:rsid w:val="003473A5"/>
    <w:rsid w:val="00363344"/>
    <w:rsid w:val="0037624D"/>
    <w:rsid w:val="003D53F5"/>
    <w:rsid w:val="00442AEA"/>
    <w:rsid w:val="00506580"/>
    <w:rsid w:val="0051141E"/>
    <w:rsid w:val="00516461"/>
    <w:rsid w:val="00550988"/>
    <w:rsid w:val="006A59A4"/>
    <w:rsid w:val="006F439D"/>
    <w:rsid w:val="0075230E"/>
    <w:rsid w:val="007646C2"/>
    <w:rsid w:val="0079129E"/>
    <w:rsid w:val="007B5CDB"/>
    <w:rsid w:val="008461B1"/>
    <w:rsid w:val="0088130C"/>
    <w:rsid w:val="008B3342"/>
    <w:rsid w:val="00924A7F"/>
    <w:rsid w:val="00930563"/>
    <w:rsid w:val="00935243"/>
    <w:rsid w:val="00974E53"/>
    <w:rsid w:val="009B01E4"/>
    <w:rsid w:val="009E20F4"/>
    <w:rsid w:val="009E4ACD"/>
    <w:rsid w:val="009E5D50"/>
    <w:rsid w:val="00A04736"/>
    <w:rsid w:val="00A05723"/>
    <w:rsid w:val="00A31C76"/>
    <w:rsid w:val="00A35D3A"/>
    <w:rsid w:val="00A36048"/>
    <w:rsid w:val="00A56C50"/>
    <w:rsid w:val="00A579E8"/>
    <w:rsid w:val="00A76221"/>
    <w:rsid w:val="00AF4CC0"/>
    <w:rsid w:val="00B00AD7"/>
    <w:rsid w:val="00B00B7F"/>
    <w:rsid w:val="00B058AB"/>
    <w:rsid w:val="00BD1864"/>
    <w:rsid w:val="00BD603E"/>
    <w:rsid w:val="00C16D25"/>
    <w:rsid w:val="00C172CF"/>
    <w:rsid w:val="00C87432"/>
    <w:rsid w:val="00CC4D45"/>
    <w:rsid w:val="00CE42CC"/>
    <w:rsid w:val="00D13F35"/>
    <w:rsid w:val="00D94738"/>
    <w:rsid w:val="00DE6D3F"/>
    <w:rsid w:val="00DF3FB9"/>
    <w:rsid w:val="00E30F5E"/>
    <w:rsid w:val="00E62758"/>
    <w:rsid w:val="00E968BF"/>
    <w:rsid w:val="00EB5C2A"/>
    <w:rsid w:val="00EB749F"/>
    <w:rsid w:val="00EC60CE"/>
    <w:rsid w:val="00ED7F6E"/>
    <w:rsid w:val="00EF1C26"/>
    <w:rsid w:val="00F1627F"/>
    <w:rsid w:val="00F63EF6"/>
    <w:rsid w:val="00FA7529"/>
    <w:rsid w:val="00FB71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33C563"/>
  <w15:chartTrackingRefBased/>
  <w15:docId w15:val="{09C80605-A5F7-430C-9F38-7FF30EE2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spacing w:after="60"/>
      <w:jc w:val="center"/>
      <w:outlineLvl w:val="1"/>
    </w:pPr>
    <w:rPr>
      <w:rFonts w:ascii="Arial" w:hAnsi="Arial" w:cs="Arial"/>
      <w:b/>
      <w:bCs/>
      <w:i/>
      <w:iCs/>
      <w:u w:val="single"/>
    </w:rPr>
  </w:style>
  <w:style w:type="paragraph" w:styleId="Titre3">
    <w:name w:val="heading 3"/>
    <w:basedOn w:val="Normal"/>
    <w:next w:val="Corpsdetexte"/>
    <w:qFormat/>
    <w:pPr>
      <w:keepNext/>
      <w:spacing w:before="240" w:after="60"/>
      <w:jc w:val="both"/>
      <w:outlineLvl w:val="2"/>
    </w:pPr>
    <w:rPr>
      <w:rFonts w:ascii="Arial" w:hAnsi="Arial"/>
      <w:sz w:val="24"/>
    </w:rPr>
  </w:style>
  <w:style w:type="paragraph" w:styleId="Titre4">
    <w:name w:val="heading 4"/>
    <w:basedOn w:val="Normal"/>
    <w:next w:val="Normal"/>
    <w:qFormat/>
    <w:pPr>
      <w:keepNext/>
      <w:jc w:val="center"/>
      <w:outlineLvl w:val="3"/>
    </w:pPr>
    <w:rPr>
      <w:rFonts w:ascii="Arial" w:hAnsi="Arial"/>
      <w:sz w:val="24"/>
    </w:rPr>
  </w:style>
  <w:style w:type="paragraph" w:styleId="Titre5">
    <w:name w:val="heading 5"/>
    <w:basedOn w:val="Normal"/>
    <w:next w:val="Normal"/>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b/>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center"/>
    </w:pPr>
    <w:rPr>
      <w:b/>
    </w:rPr>
  </w:style>
  <w:style w:type="paragraph" w:styleId="Corpsdetexte3">
    <w:name w:val="Body Text 3"/>
    <w:basedOn w:val="Normal"/>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pPr>
      <w:spacing w:before="100" w:beforeAutospacing="1" w:after="100" w:afterAutospacing="1"/>
    </w:pPr>
    <w:rPr>
      <w:color w:val="000000"/>
      <w:sz w:val="24"/>
      <w:szCs w:val="24"/>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link w:val="ParagraphesCar"/>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pPr>
      <w:spacing w:before="120" w:after="120"/>
      <w:jc w:val="both"/>
    </w:pPr>
    <w:rPr>
      <w:rFonts w:ascii="Arial" w:hAnsi="Arial" w:cs="Arial"/>
      <w:b/>
      <w:bCs/>
      <w:sz w:val="24"/>
      <w:u w:val="single"/>
    </w:rPr>
  </w:style>
  <w:style w:type="paragraph" w:customStyle="1" w:styleId="Titresousparagraphe">
    <w:name w:val="Titre sous paragraphe"/>
    <w:basedOn w:val="Normal"/>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spip">
    <w:name w:val="spip"/>
    <w:basedOn w:val="Normal"/>
    <w:rsid w:val="00FA7529"/>
    <w:pPr>
      <w:spacing w:before="100" w:beforeAutospacing="1" w:after="100" w:afterAutospacing="1"/>
    </w:pPr>
    <w:rPr>
      <w:sz w:val="24"/>
      <w:szCs w:val="24"/>
    </w:rPr>
  </w:style>
  <w:style w:type="table" w:styleId="Grilledutableau">
    <w:name w:val="Table Grid"/>
    <w:basedOn w:val="TableauNormal"/>
    <w:rsid w:val="00FB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sCar">
    <w:name w:val="Paragraphes Car"/>
    <w:link w:val="Paragraphes"/>
    <w:rsid w:val="00EC60CE"/>
    <w:rPr>
      <w:rFonts w:ascii="Arial" w:hAnsi="Arial" w:cs="Arial"/>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62156">
      <w:bodyDiv w:val="1"/>
      <w:marLeft w:val="0"/>
      <w:marRight w:val="0"/>
      <w:marTop w:val="0"/>
      <w:marBottom w:val="0"/>
      <w:divBdr>
        <w:top w:val="none" w:sz="0" w:space="0" w:color="auto"/>
        <w:left w:val="none" w:sz="0" w:space="0" w:color="auto"/>
        <w:bottom w:val="none" w:sz="0" w:space="0" w:color="auto"/>
        <w:right w:val="none" w:sz="0" w:space="0" w:color="auto"/>
      </w:divBdr>
    </w:div>
    <w:div w:id="1123578433">
      <w:bodyDiv w:val="1"/>
      <w:marLeft w:val="0"/>
      <w:marRight w:val="0"/>
      <w:marTop w:val="0"/>
      <w:marBottom w:val="0"/>
      <w:divBdr>
        <w:top w:val="none" w:sz="0" w:space="0" w:color="auto"/>
        <w:left w:val="none" w:sz="0" w:space="0" w:color="auto"/>
        <w:bottom w:val="none" w:sz="0" w:space="0" w:color="auto"/>
        <w:right w:val="none" w:sz="0" w:space="0" w:color="auto"/>
      </w:divBdr>
    </w:div>
    <w:div w:id="1154102804">
      <w:bodyDiv w:val="1"/>
      <w:marLeft w:val="0"/>
      <w:marRight w:val="0"/>
      <w:marTop w:val="0"/>
      <w:marBottom w:val="0"/>
      <w:divBdr>
        <w:top w:val="none" w:sz="0" w:space="0" w:color="auto"/>
        <w:left w:val="none" w:sz="0" w:space="0" w:color="auto"/>
        <w:bottom w:val="none" w:sz="0" w:space="0" w:color="auto"/>
        <w:right w:val="none" w:sz="0" w:space="0" w:color="auto"/>
      </w:divBdr>
    </w:div>
    <w:div w:id="1226338182">
      <w:bodyDiv w:val="1"/>
      <w:marLeft w:val="0"/>
      <w:marRight w:val="0"/>
      <w:marTop w:val="0"/>
      <w:marBottom w:val="0"/>
      <w:divBdr>
        <w:top w:val="none" w:sz="0" w:space="0" w:color="auto"/>
        <w:left w:val="none" w:sz="0" w:space="0" w:color="auto"/>
        <w:bottom w:val="none" w:sz="0" w:space="0" w:color="auto"/>
        <w:right w:val="none" w:sz="0" w:space="0" w:color="auto"/>
      </w:divBdr>
    </w:div>
    <w:div w:id="13329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Application%20Data\Microsoft\Mod&#232;les\BTS%20MI\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Template>
  <TotalTime>0</TotalTime>
  <Pages>2</Pages>
  <Words>692</Words>
  <Characters>3811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subject/>
  <dc:creator>FAIGNER H.</dc:creator>
  <cp:keywords/>
  <cp:lastModifiedBy>Cousin Hub</cp:lastModifiedBy>
  <cp:revision>2</cp:revision>
  <cp:lastPrinted>2014-11-05T11:08:00Z</cp:lastPrinted>
  <dcterms:created xsi:type="dcterms:W3CDTF">2020-05-27T08:49:00Z</dcterms:created>
  <dcterms:modified xsi:type="dcterms:W3CDTF">2020-05-27T08:49:00Z</dcterms:modified>
</cp:coreProperties>
</file>